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B2DFE" w14:textId="77777777" w:rsidR="001D02D8" w:rsidRDefault="001D02D8" w:rsidP="001D02D8">
      <w:pPr>
        <w:pStyle w:val="Heading3"/>
        <w:jc w:val="center"/>
      </w:pPr>
      <w:bookmarkStart w:id="0" w:name="X6929b139077720c05e6934aedeeb33eb4817345"/>
    </w:p>
    <w:p w14:paraId="2E89642F" w14:textId="77777777" w:rsidR="001D02D8" w:rsidRDefault="001D02D8" w:rsidP="001D02D8">
      <w:pPr>
        <w:pStyle w:val="Heading3"/>
        <w:jc w:val="center"/>
      </w:pPr>
    </w:p>
    <w:p w14:paraId="76D8FE80" w14:textId="77777777" w:rsidR="001D02D8" w:rsidRDefault="001D02D8" w:rsidP="001D02D8">
      <w:pPr>
        <w:pStyle w:val="Heading3"/>
        <w:jc w:val="center"/>
      </w:pPr>
    </w:p>
    <w:p w14:paraId="41196001" w14:textId="77777777" w:rsidR="001D02D8" w:rsidRDefault="001D02D8" w:rsidP="001D02D8">
      <w:pPr>
        <w:pStyle w:val="Heading3"/>
        <w:jc w:val="center"/>
      </w:pPr>
    </w:p>
    <w:p w14:paraId="55F5F86C" w14:textId="77777777" w:rsidR="001D02D8" w:rsidRDefault="001D02D8" w:rsidP="001D02D8">
      <w:pPr>
        <w:pStyle w:val="Heading3"/>
        <w:jc w:val="center"/>
      </w:pPr>
    </w:p>
    <w:p w14:paraId="6554431A" w14:textId="77777777" w:rsidR="001D02D8" w:rsidRDefault="001D02D8" w:rsidP="001D02D8">
      <w:pPr>
        <w:pStyle w:val="Heading3"/>
        <w:jc w:val="center"/>
      </w:pPr>
    </w:p>
    <w:p w14:paraId="32261227" w14:textId="77777777" w:rsidR="001D02D8" w:rsidRDefault="001D02D8" w:rsidP="001D02D8">
      <w:pPr>
        <w:pStyle w:val="Heading3"/>
        <w:jc w:val="center"/>
      </w:pPr>
    </w:p>
    <w:p w14:paraId="1F01FAF4" w14:textId="63BD655E" w:rsidR="001D02D8" w:rsidRDefault="00DB4972" w:rsidP="001D02D8">
      <w:pPr>
        <w:pStyle w:val="Heading3"/>
        <w:jc w:val="center"/>
      </w:pPr>
      <w:r>
        <w:rPr>
          <w:noProof/>
        </w:rPr>
        <w:drawing>
          <wp:inline distT="0" distB="0" distL="0" distR="0" wp14:anchorId="62714C00" wp14:editId="788C2FC8">
            <wp:extent cx="3048000" cy="3048000"/>
            <wp:effectExtent l="0" t="0" r="0" b="0"/>
            <wp:docPr id="106900108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001086" name="Picture 1" descr="A logo for a compan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14:paraId="24729D6E" w14:textId="77777777" w:rsidR="001D02D8" w:rsidRDefault="001D02D8" w:rsidP="001D02D8">
      <w:pPr>
        <w:pStyle w:val="Heading3"/>
        <w:jc w:val="center"/>
      </w:pPr>
    </w:p>
    <w:p w14:paraId="298F273D" w14:textId="77777777" w:rsidR="001D02D8" w:rsidRDefault="001D02D8" w:rsidP="001D02D8">
      <w:pPr>
        <w:pStyle w:val="Heading3"/>
        <w:jc w:val="center"/>
      </w:pPr>
    </w:p>
    <w:p w14:paraId="59B7C1FC" w14:textId="77777777" w:rsidR="001D02D8" w:rsidRDefault="001D02D8" w:rsidP="00DB4972">
      <w:pPr>
        <w:pStyle w:val="Heading3"/>
      </w:pPr>
    </w:p>
    <w:p w14:paraId="223DBF85" w14:textId="435973AE" w:rsidR="006F69E5" w:rsidRDefault="00F531F2" w:rsidP="001D02D8">
      <w:pPr>
        <w:pStyle w:val="Heading3"/>
        <w:jc w:val="center"/>
      </w:pPr>
      <w:r>
        <w:t>Special Educational Needs and Disability (SEND) Policy</w:t>
      </w:r>
    </w:p>
    <w:p w14:paraId="7BF21DC4" w14:textId="77777777" w:rsidR="000D2244" w:rsidRDefault="000D2244" w:rsidP="000D2244">
      <w:pPr>
        <w:pStyle w:val="BodyText"/>
      </w:pPr>
    </w:p>
    <w:p w14:paraId="75CF3E87" w14:textId="77777777" w:rsidR="000D2244" w:rsidRDefault="000D2244" w:rsidP="000D2244">
      <w:pPr>
        <w:pStyle w:val="BodyText"/>
      </w:pPr>
    </w:p>
    <w:p w14:paraId="25491827" w14:textId="77777777" w:rsidR="000D2244" w:rsidRDefault="000D2244" w:rsidP="000D2244">
      <w:pPr>
        <w:pStyle w:val="BodyText"/>
      </w:pPr>
    </w:p>
    <w:p w14:paraId="78010E79" w14:textId="77777777" w:rsidR="000D2244" w:rsidRDefault="000D2244" w:rsidP="000D2244">
      <w:pPr>
        <w:pStyle w:val="BodyText"/>
      </w:pPr>
    </w:p>
    <w:p w14:paraId="33D6B348" w14:textId="77777777" w:rsidR="007B2A84" w:rsidRPr="000D2244" w:rsidRDefault="007B2A84" w:rsidP="000D2244">
      <w:pPr>
        <w:pStyle w:val="BodyText"/>
      </w:pPr>
    </w:p>
    <w:p w14:paraId="223DBF87" w14:textId="77777777" w:rsidR="006F69E5" w:rsidRDefault="00F531F2">
      <w:r>
        <w:lastRenderedPageBreak/>
        <w:pict w14:anchorId="223DC004">
          <v:rect id="_x0000_i1025" style="width:0;height:1.5pt" o:hralign="center" o:hrstd="t" o:hr="t"/>
        </w:pict>
      </w:r>
    </w:p>
    <w:p w14:paraId="223DBF88" w14:textId="77777777" w:rsidR="006F69E5" w:rsidRDefault="00F531F2">
      <w:pPr>
        <w:pStyle w:val="Heading3"/>
      </w:pPr>
      <w:bookmarkStart w:id="1" w:name="contents"/>
      <w:bookmarkEnd w:id="0"/>
      <w:r>
        <w:t>Contents</w:t>
      </w:r>
    </w:p>
    <w:p w14:paraId="223DBF89" w14:textId="77777777" w:rsidR="006F69E5" w:rsidRDefault="00F531F2">
      <w:pPr>
        <w:pStyle w:val="Compact"/>
        <w:numPr>
          <w:ilvl w:val="0"/>
          <w:numId w:val="2"/>
        </w:numPr>
      </w:pPr>
      <w:r>
        <w:t>Article 29: The UN Convention on the Rights of the Child</w:t>
      </w:r>
    </w:p>
    <w:p w14:paraId="223DBF8A" w14:textId="77777777" w:rsidR="006F69E5" w:rsidRDefault="00F531F2">
      <w:pPr>
        <w:pStyle w:val="Compact"/>
        <w:numPr>
          <w:ilvl w:val="0"/>
          <w:numId w:val="2"/>
        </w:numPr>
      </w:pPr>
      <w:r>
        <w:t>Objectives of the Policy</w:t>
      </w:r>
    </w:p>
    <w:p w14:paraId="223DBF8B" w14:textId="77777777" w:rsidR="006F69E5" w:rsidRDefault="00F531F2">
      <w:pPr>
        <w:pStyle w:val="Compact"/>
        <w:numPr>
          <w:ilvl w:val="0"/>
          <w:numId w:val="2"/>
        </w:numPr>
      </w:pPr>
      <w:r>
        <w:t>How the Policy Will Contribute to Meeting the Objectives</w:t>
      </w:r>
    </w:p>
    <w:p w14:paraId="223DBF8C" w14:textId="77777777" w:rsidR="006F69E5" w:rsidRDefault="00F531F2">
      <w:pPr>
        <w:pStyle w:val="Compact"/>
        <w:numPr>
          <w:ilvl w:val="0"/>
          <w:numId w:val="2"/>
        </w:numPr>
      </w:pPr>
      <w:r>
        <w:t>Guiding Principles</w:t>
      </w:r>
    </w:p>
    <w:p w14:paraId="223DBF8D" w14:textId="77777777" w:rsidR="006F69E5" w:rsidRDefault="00F531F2">
      <w:pPr>
        <w:pStyle w:val="Compact"/>
        <w:numPr>
          <w:ilvl w:val="0"/>
          <w:numId w:val="2"/>
        </w:numPr>
      </w:pPr>
      <w:r>
        <w:t>Coordinating SEND Provision</w:t>
      </w:r>
    </w:p>
    <w:p w14:paraId="223DBF8E" w14:textId="77777777" w:rsidR="006F69E5" w:rsidRDefault="00F531F2">
      <w:pPr>
        <w:pStyle w:val="Compact"/>
        <w:numPr>
          <w:ilvl w:val="0"/>
          <w:numId w:val="2"/>
        </w:numPr>
      </w:pPr>
      <w:r>
        <w:t>Education Health and Care Plans (EHCP)</w:t>
      </w:r>
    </w:p>
    <w:p w14:paraId="223DBF8F" w14:textId="77777777" w:rsidR="006F69E5" w:rsidRDefault="00F531F2">
      <w:pPr>
        <w:pStyle w:val="Compact"/>
        <w:numPr>
          <w:ilvl w:val="0"/>
          <w:numId w:val="2"/>
        </w:numPr>
      </w:pPr>
      <w:r>
        <w:t>Facilities and Accessibility</w:t>
      </w:r>
    </w:p>
    <w:p w14:paraId="223DBF90" w14:textId="77777777" w:rsidR="006F69E5" w:rsidRDefault="00F531F2">
      <w:pPr>
        <w:pStyle w:val="Compact"/>
        <w:numPr>
          <w:ilvl w:val="0"/>
          <w:numId w:val="2"/>
        </w:numPr>
      </w:pPr>
      <w:r>
        <w:t>Identification and Assessment of SEND</w:t>
      </w:r>
    </w:p>
    <w:p w14:paraId="223DBF91" w14:textId="77777777" w:rsidR="006F69E5" w:rsidRDefault="00F531F2">
      <w:pPr>
        <w:pStyle w:val="Compact"/>
        <w:numPr>
          <w:ilvl w:val="0"/>
          <w:numId w:val="2"/>
        </w:numPr>
      </w:pPr>
      <w:r>
        <w:t>Access to the National Curriculum</w:t>
      </w:r>
    </w:p>
    <w:p w14:paraId="223DBF92" w14:textId="77777777" w:rsidR="006F69E5" w:rsidRDefault="00F531F2">
      <w:pPr>
        <w:pStyle w:val="Compact"/>
        <w:numPr>
          <w:ilvl w:val="0"/>
          <w:numId w:val="2"/>
        </w:numPr>
      </w:pPr>
      <w:r>
        <w:t>Preparing for Adulthood (Transition)</w:t>
      </w:r>
    </w:p>
    <w:p w14:paraId="223DBF93" w14:textId="77777777" w:rsidR="006F69E5" w:rsidRDefault="00F531F2">
      <w:pPr>
        <w:pStyle w:val="Compact"/>
        <w:numPr>
          <w:ilvl w:val="0"/>
          <w:numId w:val="2"/>
        </w:numPr>
      </w:pPr>
      <w:r>
        <w:t>Pupil Voice</w:t>
      </w:r>
    </w:p>
    <w:p w14:paraId="223DBF94" w14:textId="77777777" w:rsidR="006F69E5" w:rsidRDefault="00F531F2">
      <w:pPr>
        <w:pStyle w:val="Compact"/>
        <w:numPr>
          <w:ilvl w:val="0"/>
          <w:numId w:val="2"/>
        </w:numPr>
      </w:pPr>
      <w:r>
        <w:t>Monitoring and Evaluation</w:t>
      </w:r>
    </w:p>
    <w:p w14:paraId="223DBF95" w14:textId="77777777" w:rsidR="006F69E5" w:rsidRDefault="00F531F2">
      <w:pPr>
        <w:pStyle w:val="Compact"/>
        <w:numPr>
          <w:ilvl w:val="0"/>
          <w:numId w:val="2"/>
        </w:numPr>
      </w:pPr>
      <w:r>
        <w:t>Complaints</w:t>
      </w:r>
    </w:p>
    <w:p w14:paraId="223DBF96" w14:textId="77777777" w:rsidR="006F69E5" w:rsidRDefault="00F531F2">
      <w:pPr>
        <w:pStyle w:val="Compact"/>
        <w:numPr>
          <w:ilvl w:val="0"/>
          <w:numId w:val="2"/>
        </w:numPr>
      </w:pPr>
      <w:r>
        <w:t>Staff Training and Development</w:t>
      </w:r>
    </w:p>
    <w:p w14:paraId="223DBF97" w14:textId="77777777" w:rsidR="006F69E5" w:rsidRDefault="00F531F2">
      <w:pPr>
        <w:pStyle w:val="Compact"/>
        <w:numPr>
          <w:ilvl w:val="0"/>
          <w:numId w:val="2"/>
        </w:numPr>
      </w:pPr>
      <w:r>
        <w:t>Working in Partnership with Parents/Carers</w:t>
      </w:r>
    </w:p>
    <w:p w14:paraId="223DBF98" w14:textId="77777777" w:rsidR="006F69E5" w:rsidRDefault="00F531F2">
      <w:pPr>
        <w:pStyle w:val="Compact"/>
        <w:numPr>
          <w:ilvl w:val="0"/>
          <w:numId w:val="2"/>
        </w:numPr>
      </w:pPr>
      <w:r>
        <w:t>Linked Policies</w:t>
      </w:r>
    </w:p>
    <w:p w14:paraId="223DBF99" w14:textId="77777777" w:rsidR="006F69E5" w:rsidRDefault="00F531F2">
      <w:pPr>
        <w:pStyle w:val="Compact"/>
        <w:numPr>
          <w:ilvl w:val="0"/>
          <w:numId w:val="2"/>
        </w:numPr>
      </w:pPr>
      <w:r>
        <w:t>Glossary</w:t>
      </w:r>
    </w:p>
    <w:p w14:paraId="658F8D1A" w14:textId="77777777" w:rsidR="00275F25" w:rsidRDefault="00275F25" w:rsidP="00275F25">
      <w:pPr>
        <w:pStyle w:val="Compact"/>
      </w:pPr>
    </w:p>
    <w:p w14:paraId="595B6E6C" w14:textId="77777777" w:rsidR="00275F25" w:rsidRDefault="00275F25" w:rsidP="00275F25">
      <w:pPr>
        <w:pStyle w:val="Compact"/>
      </w:pPr>
    </w:p>
    <w:p w14:paraId="002A9F7B" w14:textId="77777777" w:rsidR="00275F25" w:rsidRDefault="00275F25" w:rsidP="00275F25">
      <w:pPr>
        <w:pStyle w:val="Compact"/>
      </w:pPr>
    </w:p>
    <w:p w14:paraId="4FE33513" w14:textId="77777777" w:rsidR="00275F25" w:rsidRDefault="00275F25" w:rsidP="00275F25">
      <w:pPr>
        <w:pStyle w:val="Compact"/>
      </w:pPr>
    </w:p>
    <w:p w14:paraId="46D45170" w14:textId="77777777" w:rsidR="00275F25" w:rsidRDefault="00275F25" w:rsidP="00275F25">
      <w:pPr>
        <w:pStyle w:val="Compact"/>
      </w:pPr>
    </w:p>
    <w:p w14:paraId="25240EB8" w14:textId="77777777" w:rsidR="00275F25" w:rsidRDefault="00275F25" w:rsidP="00275F25">
      <w:pPr>
        <w:pStyle w:val="Compact"/>
      </w:pPr>
    </w:p>
    <w:p w14:paraId="2F58A9B8" w14:textId="77777777" w:rsidR="00275F25" w:rsidRDefault="00275F25" w:rsidP="00275F25">
      <w:pPr>
        <w:pStyle w:val="Compact"/>
      </w:pPr>
    </w:p>
    <w:p w14:paraId="2D1E27D7" w14:textId="77777777" w:rsidR="00275F25" w:rsidRDefault="00275F25" w:rsidP="00275F25">
      <w:pPr>
        <w:pStyle w:val="Compact"/>
      </w:pPr>
    </w:p>
    <w:p w14:paraId="70D08124" w14:textId="77777777" w:rsidR="00275F25" w:rsidRDefault="00275F25" w:rsidP="00275F25">
      <w:pPr>
        <w:pStyle w:val="Compact"/>
      </w:pPr>
    </w:p>
    <w:p w14:paraId="6921CAAA" w14:textId="77777777" w:rsidR="00275F25" w:rsidRDefault="00275F25" w:rsidP="00275F25">
      <w:pPr>
        <w:pStyle w:val="Compact"/>
      </w:pPr>
    </w:p>
    <w:p w14:paraId="61C85E2B" w14:textId="77777777" w:rsidR="00275F25" w:rsidRDefault="00275F25" w:rsidP="00275F25">
      <w:pPr>
        <w:pStyle w:val="Compact"/>
      </w:pPr>
    </w:p>
    <w:p w14:paraId="24876734" w14:textId="77777777" w:rsidR="00275F25" w:rsidRDefault="00275F25" w:rsidP="00275F25">
      <w:pPr>
        <w:pStyle w:val="Compact"/>
      </w:pPr>
    </w:p>
    <w:p w14:paraId="7EC5FCD6" w14:textId="77777777" w:rsidR="00275F25" w:rsidRDefault="00275F25" w:rsidP="00275F25">
      <w:pPr>
        <w:pStyle w:val="Compact"/>
      </w:pPr>
    </w:p>
    <w:p w14:paraId="645E559B" w14:textId="77777777" w:rsidR="00275F25" w:rsidRDefault="00275F25" w:rsidP="00275F25">
      <w:pPr>
        <w:pStyle w:val="Compact"/>
      </w:pPr>
    </w:p>
    <w:p w14:paraId="33B4B969" w14:textId="77777777" w:rsidR="00275F25" w:rsidRDefault="00275F25" w:rsidP="00275F25">
      <w:pPr>
        <w:pStyle w:val="Compact"/>
      </w:pPr>
    </w:p>
    <w:p w14:paraId="406C08DD" w14:textId="77777777" w:rsidR="00275F25" w:rsidRDefault="00275F25" w:rsidP="00275F25">
      <w:pPr>
        <w:pStyle w:val="Compact"/>
      </w:pPr>
    </w:p>
    <w:p w14:paraId="1CADD908" w14:textId="77777777" w:rsidR="00275F25" w:rsidRDefault="00275F25" w:rsidP="00275F25">
      <w:pPr>
        <w:pStyle w:val="Compact"/>
      </w:pPr>
    </w:p>
    <w:p w14:paraId="468CF2EB" w14:textId="77777777" w:rsidR="00275F25" w:rsidRDefault="00275F25" w:rsidP="00275F25">
      <w:pPr>
        <w:pStyle w:val="Compact"/>
      </w:pPr>
    </w:p>
    <w:p w14:paraId="1D1D928B" w14:textId="77777777" w:rsidR="00275F25" w:rsidRDefault="00275F25" w:rsidP="00275F25">
      <w:pPr>
        <w:pStyle w:val="Compact"/>
      </w:pPr>
    </w:p>
    <w:p w14:paraId="223DBF9A" w14:textId="77777777" w:rsidR="006F69E5" w:rsidRDefault="00F531F2">
      <w:r>
        <w:lastRenderedPageBreak/>
        <w:pict w14:anchorId="223DC005">
          <v:rect id="_x0000_i1026" style="width:0;height:1.5pt" o:hralign="center" o:hrstd="t" o:hr="t"/>
        </w:pict>
      </w:r>
    </w:p>
    <w:p w14:paraId="223DBF9B" w14:textId="77777777" w:rsidR="006F69E5" w:rsidRDefault="00F531F2">
      <w:pPr>
        <w:pStyle w:val="Heading3"/>
      </w:pPr>
      <w:bookmarkStart w:id="2" w:name="X21a4972b04dfd083c28b412c7b5addaef790c28"/>
      <w:bookmarkEnd w:id="1"/>
      <w:r>
        <w:t>Article 29: The UN Convention on the Rights of the Child</w:t>
      </w:r>
    </w:p>
    <w:p w14:paraId="223DBF9C" w14:textId="77777777" w:rsidR="006F69E5" w:rsidRDefault="00F531F2">
      <w:pPr>
        <w:pStyle w:val="FirstParagraph"/>
      </w:pPr>
      <w:r>
        <w:t>“Education must develop every child’s personality, talents and abilities to the full. It must encourage the child’s respect for their parents, their own and other cultures, and the environment.”</w:t>
      </w:r>
    </w:p>
    <w:p w14:paraId="223DBF9D" w14:textId="77777777" w:rsidR="006F69E5" w:rsidRDefault="00F531F2">
      <w:r>
        <w:pict w14:anchorId="223DC006">
          <v:rect id="_x0000_i1027" style="width:0;height:1.5pt" o:hralign="center" o:hrstd="t" o:hr="t"/>
        </w:pict>
      </w:r>
    </w:p>
    <w:p w14:paraId="223DBF9E" w14:textId="77777777" w:rsidR="006F69E5" w:rsidRDefault="00F531F2">
      <w:pPr>
        <w:pStyle w:val="Heading3"/>
      </w:pPr>
      <w:bookmarkStart w:id="3" w:name="objectives-of-the-policy"/>
      <w:bookmarkEnd w:id="2"/>
      <w:r>
        <w:t>1. Objectives of the Policy</w:t>
      </w:r>
    </w:p>
    <w:p w14:paraId="223DBF9F" w14:textId="77777777" w:rsidR="006F69E5" w:rsidRDefault="00F531F2">
      <w:pPr>
        <w:pStyle w:val="FirstParagraph"/>
      </w:pPr>
      <w:r>
        <w:t>Life Skills Enterprise School is a specialist setting for pupils with Autism Spectrum Disorder (ASD) as a primary need, often with additional Speech, Language and Communication Needs (SLCN) and learning difficulties. This policy is aligned with the Children and Families Act 2014 and the SEND Code of Practice: 0-25 Years (2015). We aim to:</w:t>
      </w:r>
    </w:p>
    <w:p w14:paraId="223DBFA0" w14:textId="77777777" w:rsidR="006F69E5" w:rsidRDefault="00F531F2">
      <w:pPr>
        <w:pStyle w:val="Compact"/>
        <w:numPr>
          <w:ilvl w:val="0"/>
          <w:numId w:val="3"/>
        </w:numPr>
      </w:pPr>
      <w:r>
        <w:t>Ensure all pupils’ needs are met through rigorous identification, assessment, planning and support.</w:t>
      </w:r>
    </w:p>
    <w:p w14:paraId="223DBFA1" w14:textId="77777777" w:rsidR="006F69E5" w:rsidRDefault="00F531F2">
      <w:pPr>
        <w:pStyle w:val="Compact"/>
        <w:numPr>
          <w:ilvl w:val="0"/>
          <w:numId w:val="3"/>
        </w:numPr>
      </w:pPr>
      <w:r>
        <w:t>Promote pupil and parent voice in all processes.</w:t>
      </w:r>
    </w:p>
    <w:p w14:paraId="223DBFA2" w14:textId="77777777" w:rsidR="006F69E5" w:rsidRDefault="00F531F2">
      <w:pPr>
        <w:pStyle w:val="Compact"/>
        <w:numPr>
          <w:ilvl w:val="0"/>
          <w:numId w:val="3"/>
        </w:numPr>
      </w:pPr>
      <w:r>
        <w:t>Provide full access to a broad and balanced curriculum.</w:t>
      </w:r>
    </w:p>
    <w:p w14:paraId="223DBFA3" w14:textId="77777777" w:rsidR="006F69E5" w:rsidRDefault="00F531F2">
      <w:pPr>
        <w:pStyle w:val="Compact"/>
        <w:numPr>
          <w:ilvl w:val="0"/>
          <w:numId w:val="3"/>
        </w:numPr>
      </w:pPr>
      <w:r>
        <w:t>Engage with external agencies appropriately.</w:t>
      </w:r>
    </w:p>
    <w:p w14:paraId="223DBFA4" w14:textId="77777777" w:rsidR="006F69E5" w:rsidRDefault="00F531F2">
      <w:pPr>
        <w:pStyle w:val="Compact"/>
        <w:numPr>
          <w:ilvl w:val="0"/>
          <w:numId w:val="3"/>
        </w:numPr>
      </w:pPr>
      <w:r>
        <w:t>Regularly monitor provision and progress.</w:t>
      </w:r>
    </w:p>
    <w:p w14:paraId="223DBFA5" w14:textId="77777777" w:rsidR="006F69E5" w:rsidRDefault="00F531F2">
      <w:pPr>
        <w:pStyle w:val="Compact"/>
        <w:numPr>
          <w:ilvl w:val="0"/>
          <w:numId w:val="3"/>
        </w:numPr>
      </w:pPr>
      <w:r>
        <w:t>Deliver regular, relevant staff training.</w:t>
      </w:r>
    </w:p>
    <w:p w14:paraId="223DBFA6" w14:textId="77777777" w:rsidR="006F69E5" w:rsidRDefault="00F531F2">
      <w:r>
        <w:pict w14:anchorId="223DC007">
          <v:rect id="_x0000_i1028" style="width:0;height:1.5pt" o:hralign="center" o:hrstd="t" o:hr="t"/>
        </w:pict>
      </w:r>
    </w:p>
    <w:p w14:paraId="223DBFA7" w14:textId="77777777" w:rsidR="006F69E5" w:rsidRDefault="00F531F2">
      <w:pPr>
        <w:pStyle w:val="Heading3"/>
      </w:pPr>
      <w:bookmarkStart w:id="4" w:name="X3c09a9986fb869a88cd0712c0eb285e6b2bcf6e"/>
      <w:bookmarkEnd w:id="3"/>
      <w:r>
        <w:t>2. How the Policy Will Contribute to Meeting the Objectives</w:t>
      </w:r>
    </w:p>
    <w:p w14:paraId="223DBFA8" w14:textId="77777777" w:rsidR="006F69E5" w:rsidRDefault="00F531F2">
      <w:pPr>
        <w:pStyle w:val="FirstParagraph"/>
      </w:pPr>
      <w:r>
        <w:t>The Senior Leadership Team (SLT) and Governing Body will monitor the policy’s effectiveness through evaluation of provision, progress data, training needs, statutory reviews and feedback from pupils, staff and families.</w:t>
      </w:r>
    </w:p>
    <w:p w14:paraId="223DBFA9" w14:textId="77777777" w:rsidR="006F69E5" w:rsidRDefault="00F531F2">
      <w:r>
        <w:pict w14:anchorId="223DC008">
          <v:rect id="_x0000_i1029" style="width:0;height:1.5pt" o:hralign="center" o:hrstd="t" o:hr="t"/>
        </w:pict>
      </w:r>
    </w:p>
    <w:p w14:paraId="223DBFAA" w14:textId="77777777" w:rsidR="006F69E5" w:rsidRDefault="00F531F2">
      <w:pPr>
        <w:pStyle w:val="Heading3"/>
      </w:pPr>
      <w:bookmarkStart w:id="5" w:name="guiding-principles"/>
      <w:bookmarkEnd w:id="4"/>
      <w:r>
        <w:t>3. Guiding Principles</w:t>
      </w:r>
    </w:p>
    <w:p w14:paraId="223DBFAB" w14:textId="77777777" w:rsidR="006F69E5" w:rsidRDefault="00F531F2">
      <w:pPr>
        <w:pStyle w:val="FirstParagraph"/>
      </w:pPr>
      <w:r>
        <w:t>All pupils, regardless of gender, ethnicity, ability, disability or background, are entitled to high-quality education. Our approach reflects the four areas of need:</w:t>
      </w:r>
    </w:p>
    <w:p w14:paraId="223DBFAC" w14:textId="77777777" w:rsidR="006F69E5" w:rsidRDefault="00F531F2">
      <w:pPr>
        <w:pStyle w:val="Compact"/>
        <w:numPr>
          <w:ilvl w:val="0"/>
          <w:numId w:val="4"/>
        </w:numPr>
      </w:pPr>
      <w:r>
        <w:t>Communication and interaction</w:t>
      </w:r>
    </w:p>
    <w:p w14:paraId="223DBFAD" w14:textId="77777777" w:rsidR="006F69E5" w:rsidRDefault="00F531F2">
      <w:pPr>
        <w:pStyle w:val="Compact"/>
        <w:numPr>
          <w:ilvl w:val="0"/>
          <w:numId w:val="4"/>
        </w:numPr>
      </w:pPr>
      <w:r>
        <w:t>Cognition and learning</w:t>
      </w:r>
    </w:p>
    <w:p w14:paraId="223DBFAE" w14:textId="77777777" w:rsidR="006F69E5" w:rsidRDefault="00F531F2">
      <w:pPr>
        <w:pStyle w:val="Compact"/>
        <w:numPr>
          <w:ilvl w:val="0"/>
          <w:numId w:val="4"/>
        </w:numPr>
      </w:pPr>
      <w:r>
        <w:t>Social, emotional and mental health (SEMH)</w:t>
      </w:r>
    </w:p>
    <w:p w14:paraId="223DBFAF" w14:textId="77777777" w:rsidR="006F69E5" w:rsidRDefault="00F531F2">
      <w:pPr>
        <w:pStyle w:val="Compact"/>
        <w:numPr>
          <w:ilvl w:val="0"/>
          <w:numId w:val="4"/>
        </w:numPr>
      </w:pPr>
      <w:r>
        <w:t>Sensory and/or physical needs</w:t>
      </w:r>
    </w:p>
    <w:p w14:paraId="223DBFB0" w14:textId="77777777" w:rsidR="006F69E5" w:rsidRDefault="00F531F2">
      <w:pPr>
        <w:pStyle w:val="FirstParagraph"/>
      </w:pPr>
      <w:r>
        <w:t>We recognise that pupils may present with complex combinations of needs.</w:t>
      </w:r>
    </w:p>
    <w:p w14:paraId="223DBFB1" w14:textId="77777777" w:rsidR="006F69E5" w:rsidRDefault="00F531F2">
      <w:pPr>
        <w:pStyle w:val="BodyText"/>
      </w:pPr>
      <w:r>
        <w:lastRenderedPageBreak/>
        <w:t>Staff are trained in PROACT-SCIPr and supported by a therapeutic model emphasising early intervention. Small class sizes and TA support ensure tailored provision.</w:t>
      </w:r>
    </w:p>
    <w:p w14:paraId="223DBFB2" w14:textId="77777777" w:rsidR="006F69E5" w:rsidRDefault="00F531F2">
      <w:r>
        <w:pict w14:anchorId="223DC009">
          <v:rect id="_x0000_i1030" style="width:0;height:1.5pt" o:hralign="center" o:hrstd="t" o:hr="t"/>
        </w:pict>
      </w:r>
    </w:p>
    <w:p w14:paraId="223DBFB3" w14:textId="77777777" w:rsidR="006F69E5" w:rsidRDefault="00F531F2">
      <w:pPr>
        <w:pStyle w:val="Heading3"/>
      </w:pPr>
      <w:bookmarkStart w:id="6" w:name="coordinating-send-provision"/>
      <w:bookmarkEnd w:id="5"/>
      <w:r>
        <w:t>4. Coordinating SEND Provision</w:t>
      </w:r>
    </w:p>
    <w:p w14:paraId="223DBFB4" w14:textId="77777777" w:rsidR="006F69E5" w:rsidRDefault="00F531F2">
      <w:pPr>
        <w:pStyle w:val="FirstParagraph"/>
      </w:pPr>
      <w:r>
        <w:t>The Headteacher has strategic oversight of SEND. The Pastoral Leader coordinates daily provision, working closely with staff, parents, external agencies and the local authority. Their duties include:</w:t>
      </w:r>
    </w:p>
    <w:p w14:paraId="223DBFB5" w14:textId="77777777" w:rsidR="006F69E5" w:rsidRDefault="00F531F2">
      <w:pPr>
        <w:pStyle w:val="Compact"/>
        <w:numPr>
          <w:ilvl w:val="0"/>
          <w:numId w:val="5"/>
        </w:numPr>
      </w:pPr>
      <w:r>
        <w:t>Overseeing the SEND policy</w:t>
      </w:r>
    </w:p>
    <w:p w14:paraId="223DBFB6" w14:textId="77777777" w:rsidR="006F69E5" w:rsidRDefault="00F531F2">
      <w:pPr>
        <w:pStyle w:val="Compact"/>
        <w:numPr>
          <w:ilvl w:val="0"/>
          <w:numId w:val="5"/>
        </w:numPr>
      </w:pPr>
      <w:r>
        <w:t>Advising on SEND strategies</w:t>
      </w:r>
    </w:p>
    <w:p w14:paraId="223DBFB7" w14:textId="77777777" w:rsidR="006F69E5" w:rsidRDefault="00F531F2">
      <w:pPr>
        <w:pStyle w:val="Compact"/>
        <w:numPr>
          <w:ilvl w:val="0"/>
          <w:numId w:val="5"/>
        </w:numPr>
      </w:pPr>
      <w:r>
        <w:t>Coordinating EHCP implementation and reviews</w:t>
      </w:r>
    </w:p>
    <w:p w14:paraId="223DBFB8" w14:textId="77777777" w:rsidR="006F69E5" w:rsidRDefault="00F531F2">
      <w:pPr>
        <w:pStyle w:val="Compact"/>
        <w:numPr>
          <w:ilvl w:val="0"/>
          <w:numId w:val="5"/>
        </w:numPr>
      </w:pPr>
      <w:r>
        <w:t>Ensuring compliance with the Equality Act 2010</w:t>
      </w:r>
    </w:p>
    <w:p w14:paraId="223DBFB9" w14:textId="77777777" w:rsidR="006F69E5" w:rsidRDefault="00F531F2">
      <w:pPr>
        <w:pStyle w:val="Compact"/>
        <w:numPr>
          <w:ilvl w:val="0"/>
          <w:numId w:val="5"/>
        </w:numPr>
      </w:pPr>
      <w:r>
        <w:t>Maintaining up-to-date records</w:t>
      </w:r>
    </w:p>
    <w:p w14:paraId="223DBFBA" w14:textId="77777777" w:rsidR="006F69E5" w:rsidRDefault="00F531F2">
      <w:pPr>
        <w:pStyle w:val="Compact"/>
        <w:numPr>
          <w:ilvl w:val="0"/>
          <w:numId w:val="5"/>
        </w:numPr>
      </w:pPr>
      <w:r>
        <w:t>Supporting transitions</w:t>
      </w:r>
    </w:p>
    <w:p w14:paraId="223DBFBB" w14:textId="77777777" w:rsidR="006F69E5" w:rsidRDefault="00F531F2">
      <w:r>
        <w:pict w14:anchorId="223DC00A">
          <v:rect id="_x0000_i1031" style="width:0;height:1.5pt" o:hralign="center" o:hrstd="t" o:hr="t"/>
        </w:pict>
      </w:r>
    </w:p>
    <w:p w14:paraId="223DBFBC" w14:textId="77777777" w:rsidR="006F69E5" w:rsidRDefault="00F531F2">
      <w:pPr>
        <w:pStyle w:val="Heading3"/>
      </w:pPr>
      <w:bookmarkStart w:id="7" w:name="education-health-and-care-plans-ehcps"/>
      <w:bookmarkEnd w:id="6"/>
      <w:r>
        <w:t>5. Education Health and Care Plans (EHCPs)</w:t>
      </w:r>
    </w:p>
    <w:p w14:paraId="223DBFBD" w14:textId="77777777" w:rsidR="006F69E5" w:rsidRDefault="00F531F2">
      <w:pPr>
        <w:pStyle w:val="FirstParagraph"/>
      </w:pPr>
      <w:r>
        <w:t>Every pupil at the school has an EHCP. These are formally reviewed three times a year. All stakeholders contribute to reviews and provision adjustments. Significant changes are communicated to the local authority for action.</w:t>
      </w:r>
    </w:p>
    <w:p w14:paraId="223DBFBE" w14:textId="77777777" w:rsidR="006F69E5" w:rsidRDefault="00F531F2">
      <w:r>
        <w:pict w14:anchorId="223DC00B">
          <v:rect id="_x0000_i1032" style="width:0;height:1.5pt" o:hralign="center" o:hrstd="t" o:hr="t"/>
        </w:pict>
      </w:r>
    </w:p>
    <w:p w14:paraId="223DBFBF" w14:textId="77777777" w:rsidR="006F69E5" w:rsidRDefault="00F531F2">
      <w:pPr>
        <w:pStyle w:val="Heading3"/>
      </w:pPr>
      <w:bookmarkStart w:id="8" w:name="facilities-and-accessibility"/>
      <w:bookmarkEnd w:id="7"/>
      <w:r>
        <w:t>6. Facilities and Accessibility</w:t>
      </w:r>
    </w:p>
    <w:p w14:paraId="223DBFC0" w14:textId="77777777" w:rsidR="006F69E5" w:rsidRDefault="00F531F2">
      <w:pPr>
        <w:pStyle w:val="FirstParagraph"/>
      </w:pPr>
      <w:r>
        <w:t>The school is fully accessible with:</w:t>
      </w:r>
    </w:p>
    <w:p w14:paraId="223DBFC1" w14:textId="77777777" w:rsidR="006F69E5" w:rsidRDefault="00F531F2">
      <w:pPr>
        <w:pStyle w:val="Compact"/>
        <w:numPr>
          <w:ilvl w:val="0"/>
          <w:numId w:val="6"/>
        </w:numPr>
      </w:pPr>
      <w:r>
        <w:t>Step-free access throughout</w:t>
      </w:r>
    </w:p>
    <w:p w14:paraId="223DBFC2" w14:textId="77777777" w:rsidR="006F69E5" w:rsidRDefault="00F531F2">
      <w:pPr>
        <w:pStyle w:val="Compact"/>
        <w:numPr>
          <w:ilvl w:val="0"/>
          <w:numId w:val="6"/>
        </w:numPr>
      </w:pPr>
      <w:r>
        <w:t>Ramped outdoor areas</w:t>
      </w:r>
    </w:p>
    <w:p w14:paraId="223DBFC3" w14:textId="77777777" w:rsidR="006F69E5" w:rsidRDefault="00F531F2">
      <w:pPr>
        <w:pStyle w:val="Compact"/>
        <w:numPr>
          <w:ilvl w:val="0"/>
          <w:numId w:val="6"/>
        </w:numPr>
      </w:pPr>
      <w:r>
        <w:t>Compliant doors and toilets</w:t>
      </w:r>
    </w:p>
    <w:p w14:paraId="223DBFC4" w14:textId="77777777" w:rsidR="006F69E5" w:rsidRDefault="00F531F2">
      <w:pPr>
        <w:pStyle w:val="Compact"/>
        <w:numPr>
          <w:ilvl w:val="0"/>
          <w:numId w:val="6"/>
        </w:numPr>
      </w:pPr>
      <w:r>
        <w:t>Ongoing commitment to our Accessibility Plan</w:t>
      </w:r>
    </w:p>
    <w:p w14:paraId="223DBFC5" w14:textId="77777777" w:rsidR="006F69E5" w:rsidRDefault="00F531F2">
      <w:r>
        <w:pict w14:anchorId="223DC00C">
          <v:rect id="_x0000_i1033" style="width:0;height:1.5pt" o:hralign="center" o:hrstd="t" o:hr="t"/>
        </w:pict>
      </w:r>
    </w:p>
    <w:p w14:paraId="223DBFC6" w14:textId="77777777" w:rsidR="006F69E5" w:rsidRDefault="00F531F2">
      <w:pPr>
        <w:pStyle w:val="Heading3"/>
      </w:pPr>
      <w:bookmarkStart w:id="9" w:name="identification-and-assessment-of-send"/>
      <w:bookmarkEnd w:id="8"/>
      <w:r>
        <w:t>7. Identification and Assessment of SEND</w:t>
      </w:r>
    </w:p>
    <w:p w14:paraId="223DBFC7" w14:textId="77777777" w:rsidR="006F69E5" w:rsidRDefault="00F531F2">
      <w:pPr>
        <w:pStyle w:val="FirstParagraph"/>
      </w:pPr>
      <w:r>
        <w:t>Though pupils have diagnosed ASD, other needs may emerge. All new pupils are assessed in their first six weeks and formally three times per year. Assessment includes:</w:t>
      </w:r>
    </w:p>
    <w:p w14:paraId="223DBFC8" w14:textId="77777777" w:rsidR="006F69E5" w:rsidRDefault="00F531F2">
      <w:pPr>
        <w:pStyle w:val="Compact"/>
        <w:numPr>
          <w:ilvl w:val="0"/>
          <w:numId w:val="7"/>
        </w:numPr>
      </w:pPr>
      <w:r>
        <w:t>Literacy/numeracy screening</w:t>
      </w:r>
    </w:p>
    <w:p w14:paraId="223DBFC9" w14:textId="77777777" w:rsidR="006F69E5" w:rsidRDefault="00F531F2">
      <w:pPr>
        <w:pStyle w:val="Compact"/>
        <w:numPr>
          <w:ilvl w:val="0"/>
          <w:numId w:val="7"/>
        </w:numPr>
      </w:pPr>
      <w:r>
        <w:t>Holistic interventions (e.g. counselling, SALT, CBT)</w:t>
      </w:r>
    </w:p>
    <w:p w14:paraId="223DBFCA" w14:textId="77777777" w:rsidR="006F69E5" w:rsidRDefault="00F531F2">
      <w:pPr>
        <w:pStyle w:val="Compact"/>
        <w:numPr>
          <w:ilvl w:val="0"/>
          <w:numId w:val="7"/>
        </w:numPr>
      </w:pPr>
      <w:r>
        <w:t>External referrals where needed</w:t>
      </w:r>
    </w:p>
    <w:p w14:paraId="223DBFCB" w14:textId="77777777" w:rsidR="006F69E5" w:rsidRDefault="00F531F2">
      <w:r>
        <w:pict w14:anchorId="223DC00D">
          <v:rect id="_x0000_i1034" style="width:0;height:1.5pt" o:hralign="center" o:hrstd="t" o:hr="t"/>
        </w:pict>
      </w:r>
    </w:p>
    <w:p w14:paraId="223DBFCC" w14:textId="77777777" w:rsidR="006F69E5" w:rsidRDefault="00F531F2">
      <w:pPr>
        <w:pStyle w:val="Heading3"/>
      </w:pPr>
      <w:bookmarkStart w:id="10" w:name="access-to-the-national-curriculum"/>
      <w:bookmarkEnd w:id="9"/>
      <w:r>
        <w:lastRenderedPageBreak/>
        <w:t>8. Access to the National Curriculum</w:t>
      </w:r>
    </w:p>
    <w:p w14:paraId="223DBFCD" w14:textId="77777777" w:rsidR="006F69E5" w:rsidRDefault="00F531F2">
      <w:pPr>
        <w:pStyle w:val="FirstParagraph"/>
      </w:pPr>
      <w:r>
        <w:t>Teachers deliver inclusive lessons with high expectations, ambitious targets, and planned differentiation. Adaptations include:</w:t>
      </w:r>
    </w:p>
    <w:p w14:paraId="223DBFCE" w14:textId="77777777" w:rsidR="006F69E5" w:rsidRDefault="00F531F2">
      <w:pPr>
        <w:pStyle w:val="Compact"/>
        <w:numPr>
          <w:ilvl w:val="0"/>
          <w:numId w:val="8"/>
        </w:numPr>
      </w:pPr>
      <w:r>
        <w:t>Assistive technology</w:t>
      </w:r>
    </w:p>
    <w:p w14:paraId="223DBFCF" w14:textId="77777777" w:rsidR="006F69E5" w:rsidRDefault="00F531F2">
      <w:pPr>
        <w:pStyle w:val="Compact"/>
        <w:numPr>
          <w:ilvl w:val="0"/>
          <w:numId w:val="8"/>
        </w:numPr>
      </w:pPr>
      <w:r>
        <w:t>Sensory tools</w:t>
      </w:r>
    </w:p>
    <w:p w14:paraId="223DBFD0" w14:textId="77777777" w:rsidR="006F69E5" w:rsidRDefault="00F531F2">
      <w:pPr>
        <w:pStyle w:val="Compact"/>
        <w:numPr>
          <w:ilvl w:val="0"/>
          <w:numId w:val="8"/>
        </w:numPr>
      </w:pPr>
      <w:r>
        <w:t>Accredited qualifications (e.g. GCSE, BTEC, Functional Skills)</w:t>
      </w:r>
    </w:p>
    <w:p w14:paraId="223DBFD1" w14:textId="77777777" w:rsidR="006F69E5" w:rsidRDefault="00F531F2">
      <w:r>
        <w:pict w14:anchorId="223DC00E">
          <v:rect id="_x0000_i1035" style="width:0;height:1.5pt" o:hralign="center" o:hrstd="t" o:hr="t"/>
        </w:pict>
      </w:r>
    </w:p>
    <w:p w14:paraId="223DBFD2" w14:textId="77777777" w:rsidR="006F69E5" w:rsidRDefault="00F531F2">
      <w:pPr>
        <w:pStyle w:val="Heading3"/>
      </w:pPr>
      <w:bookmarkStart w:id="11" w:name="preparing-for-adulthood-transition"/>
      <w:bookmarkEnd w:id="10"/>
      <w:r>
        <w:t>9. Preparing for Adulthood (Transition)</w:t>
      </w:r>
    </w:p>
    <w:p w14:paraId="223DBFD3" w14:textId="77777777" w:rsidR="006F69E5" w:rsidRDefault="00F531F2">
      <w:pPr>
        <w:pStyle w:val="FirstParagraph"/>
      </w:pPr>
      <w:r>
        <w:t>Preparation begins early (from Year 9), focusing on:</w:t>
      </w:r>
    </w:p>
    <w:p w14:paraId="223DBFD4" w14:textId="77777777" w:rsidR="006F69E5" w:rsidRDefault="00F531F2">
      <w:pPr>
        <w:pStyle w:val="Compact"/>
        <w:numPr>
          <w:ilvl w:val="0"/>
          <w:numId w:val="9"/>
        </w:numPr>
      </w:pPr>
      <w:r>
        <w:t>Employment and training pathways</w:t>
      </w:r>
    </w:p>
    <w:p w14:paraId="223DBFD5" w14:textId="77777777" w:rsidR="006F69E5" w:rsidRDefault="00F531F2">
      <w:pPr>
        <w:pStyle w:val="Compact"/>
        <w:numPr>
          <w:ilvl w:val="0"/>
          <w:numId w:val="9"/>
        </w:numPr>
      </w:pPr>
      <w:r>
        <w:t>Independent living</w:t>
      </w:r>
    </w:p>
    <w:p w14:paraId="223DBFD6" w14:textId="77777777" w:rsidR="006F69E5" w:rsidRDefault="00F531F2">
      <w:pPr>
        <w:pStyle w:val="Compact"/>
        <w:numPr>
          <w:ilvl w:val="0"/>
          <w:numId w:val="9"/>
        </w:numPr>
      </w:pPr>
      <w:r>
        <w:t>Community participation</w:t>
      </w:r>
    </w:p>
    <w:p w14:paraId="223DBFD7" w14:textId="77777777" w:rsidR="006F69E5" w:rsidRDefault="00F531F2">
      <w:pPr>
        <w:pStyle w:val="Compact"/>
        <w:numPr>
          <w:ilvl w:val="0"/>
          <w:numId w:val="9"/>
        </w:numPr>
      </w:pPr>
      <w:r>
        <w:t>Health and well-being</w:t>
      </w:r>
    </w:p>
    <w:p w14:paraId="223DBFD8" w14:textId="77777777" w:rsidR="006F69E5" w:rsidRDefault="00F531F2">
      <w:pPr>
        <w:pStyle w:val="FirstParagraph"/>
      </w:pPr>
      <w:r>
        <w:t>Gatsby Benchmark-aligned careers advice is embedded into KS4 planning.</w:t>
      </w:r>
    </w:p>
    <w:p w14:paraId="223DBFD9" w14:textId="77777777" w:rsidR="006F69E5" w:rsidRDefault="00F531F2">
      <w:r>
        <w:pict w14:anchorId="223DC00F">
          <v:rect id="_x0000_i1036" style="width:0;height:1.5pt" o:hralign="center" o:hrstd="t" o:hr="t"/>
        </w:pict>
      </w:r>
    </w:p>
    <w:p w14:paraId="223DBFDA" w14:textId="77777777" w:rsidR="006F69E5" w:rsidRDefault="00F531F2">
      <w:pPr>
        <w:pStyle w:val="Heading3"/>
      </w:pPr>
      <w:bookmarkStart w:id="12" w:name="pupil-voice"/>
      <w:bookmarkEnd w:id="11"/>
      <w:r>
        <w:t>10. Pupil Voice</w:t>
      </w:r>
    </w:p>
    <w:p w14:paraId="223DBFDB" w14:textId="77777777" w:rsidR="006F69E5" w:rsidRDefault="00F531F2">
      <w:pPr>
        <w:pStyle w:val="FirstParagraph"/>
      </w:pPr>
      <w:r>
        <w:t>We are committed to enabling pupil participation in all areas. This includes:</w:t>
      </w:r>
    </w:p>
    <w:p w14:paraId="223DBFDC" w14:textId="77777777" w:rsidR="006F69E5" w:rsidRDefault="00F531F2">
      <w:pPr>
        <w:pStyle w:val="Compact"/>
        <w:numPr>
          <w:ilvl w:val="0"/>
          <w:numId w:val="10"/>
        </w:numPr>
      </w:pPr>
      <w:r>
        <w:t>One Page Profiles and individual plans</w:t>
      </w:r>
    </w:p>
    <w:p w14:paraId="223DBFDD" w14:textId="77777777" w:rsidR="006F69E5" w:rsidRDefault="00F531F2">
      <w:pPr>
        <w:pStyle w:val="Compact"/>
        <w:numPr>
          <w:ilvl w:val="0"/>
          <w:numId w:val="10"/>
        </w:numPr>
      </w:pPr>
      <w:r>
        <w:t>Accessible formats for expressing views</w:t>
      </w:r>
    </w:p>
    <w:p w14:paraId="223DBFDE" w14:textId="77777777" w:rsidR="006F69E5" w:rsidRDefault="00F531F2">
      <w:pPr>
        <w:pStyle w:val="Compact"/>
        <w:numPr>
          <w:ilvl w:val="0"/>
          <w:numId w:val="10"/>
        </w:numPr>
      </w:pPr>
      <w:r>
        <w:t>Annual and termly reviews</w:t>
      </w:r>
    </w:p>
    <w:p w14:paraId="223DBFDF" w14:textId="77777777" w:rsidR="006F69E5" w:rsidRDefault="00F531F2">
      <w:pPr>
        <w:pStyle w:val="Compact"/>
        <w:numPr>
          <w:ilvl w:val="0"/>
          <w:numId w:val="10"/>
        </w:numPr>
      </w:pPr>
      <w:r>
        <w:t>Student voice forums</w:t>
      </w:r>
    </w:p>
    <w:p w14:paraId="223DBFE0" w14:textId="77777777" w:rsidR="006F69E5" w:rsidRDefault="00F531F2">
      <w:r>
        <w:pict w14:anchorId="223DC010">
          <v:rect id="_x0000_i1037" style="width:0;height:1.5pt" o:hralign="center" o:hrstd="t" o:hr="t"/>
        </w:pict>
      </w:r>
    </w:p>
    <w:p w14:paraId="223DBFE1" w14:textId="77777777" w:rsidR="006F69E5" w:rsidRDefault="00F531F2">
      <w:pPr>
        <w:pStyle w:val="Heading3"/>
      </w:pPr>
      <w:bookmarkStart w:id="13" w:name="monitoring-and-evaluation"/>
      <w:bookmarkEnd w:id="12"/>
      <w:r>
        <w:t>11. Monitoring and Evaluation</w:t>
      </w:r>
    </w:p>
    <w:p w14:paraId="223DBFE2" w14:textId="77777777" w:rsidR="006F69E5" w:rsidRDefault="00F531F2">
      <w:pPr>
        <w:pStyle w:val="FirstParagraph"/>
      </w:pPr>
      <w:r>
        <w:t>Governors receive termly updates on SEND provision and outcomes. The SEND link governor works with the Pastoral Leader to ensure quality assurance. Policy is reviewed annually with stakeholder input.</w:t>
      </w:r>
    </w:p>
    <w:p w14:paraId="223DBFE3" w14:textId="77777777" w:rsidR="006F69E5" w:rsidRDefault="00F531F2">
      <w:r>
        <w:pict w14:anchorId="223DC011">
          <v:rect id="_x0000_i1038" style="width:0;height:1.5pt" o:hralign="center" o:hrstd="t" o:hr="t"/>
        </w:pict>
      </w:r>
    </w:p>
    <w:p w14:paraId="223DBFE4" w14:textId="77777777" w:rsidR="006F69E5" w:rsidRDefault="00F531F2">
      <w:pPr>
        <w:pStyle w:val="Heading3"/>
      </w:pPr>
      <w:bookmarkStart w:id="14" w:name="complaints"/>
      <w:bookmarkEnd w:id="13"/>
      <w:r>
        <w:t>12. Complaints</w:t>
      </w:r>
    </w:p>
    <w:p w14:paraId="223DBFE5" w14:textId="77777777" w:rsidR="006F69E5" w:rsidRDefault="00F531F2">
      <w:pPr>
        <w:pStyle w:val="FirstParagraph"/>
      </w:pPr>
      <w:r>
        <w:t>Complaints can be made via:</w:t>
      </w:r>
    </w:p>
    <w:p w14:paraId="223DBFE6" w14:textId="77777777" w:rsidR="006F69E5" w:rsidRDefault="00F531F2">
      <w:pPr>
        <w:pStyle w:val="Compact"/>
        <w:numPr>
          <w:ilvl w:val="0"/>
          <w:numId w:val="11"/>
        </w:numPr>
      </w:pPr>
      <w:r>
        <w:t>Any trusted adult (students)</w:t>
      </w:r>
    </w:p>
    <w:p w14:paraId="223DBFE7" w14:textId="77777777" w:rsidR="006F69E5" w:rsidRDefault="00F531F2">
      <w:pPr>
        <w:pStyle w:val="Compact"/>
        <w:numPr>
          <w:ilvl w:val="0"/>
          <w:numId w:val="11"/>
        </w:numPr>
      </w:pPr>
      <w:r>
        <w:t>The formal school complaints policy (parents/carers)</w:t>
      </w:r>
    </w:p>
    <w:p w14:paraId="223DBFE8" w14:textId="77777777" w:rsidR="006F69E5" w:rsidRDefault="00F531F2">
      <w:r>
        <w:lastRenderedPageBreak/>
        <w:pict w14:anchorId="223DC012">
          <v:rect id="_x0000_i1039" style="width:0;height:1.5pt" o:hralign="center" o:hrstd="t" o:hr="t"/>
        </w:pict>
      </w:r>
    </w:p>
    <w:p w14:paraId="223DBFE9" w14:textId="77777777" w:rsidR="006F69E5" w:rsidRDefault="00F531F2">
      <w:pPr>
        <w:pStyle w:val="Heading3"/>
      </w:pPr>
      <w:bookmarkStart w:id="15" w:name="staff-training-and-development"/>
      <w:bookmarkEnd w:id="14"/>
      <w:r>
        <w:t>13. Staff Training and Development</w:t>
      </w:r>
    </w:p>
    <w:p w14:paraId="223DBFEA" w14:textId="77777777" w:rsidR="006F69E5" w:rsidRDefault="00F531F2">
      <w:pPr>
        <w:pStyle w:val="FirstParagraph"/>
      </w:pPr>
      <w:r>
        <w:t>Staff receive:</w:t>
      </w:r>
    </w:p>
    <w:p w14:paraId="223DBFEB" w14:textId="77777777" w:rsidR="006F69E5" w:rsidRDefault="00F531F2">
      <w:pPr>
        <w:pStyle w:val="Compact"/>
        <w:numPr>
          <w:ilvl w:val="0"/>
          <w:numId w:val="12"/>
        </w:numPr>
      </w:pPr>
      <w:r>
        <w:t>PROACT-SCIPr and restorative practices training</w:t>
      </w:r>
    </w:p>
    <w:p w14:paraId="223DBFEC" w14:textId="77777777" w:rsidR="006F69E5" w:rsidRDefault="00F531F2">
      <w:pPr>
        <w:pStyle w:val="Compact"/>
        <w:numPr>
          <w:ilvl w:val="0"/>
          <w:numId w:val="12"/>
        </w:numPr>
      </w:pPr>
      <w:r>
        <w:t>CPD in SEND strategies, neurodiversity, SEMH, EHCP planning</w:t>
      </w:r>
    </w:p>
    <w:p w14:paraId="223DBFED" w14:textId="77777777" w:rsidR="006F69E5" w:rsidRDefault="00F531F2">
      <w:pPr>
        <w:pStyle w:val="Compact"/>
        <w:numPr>
          <w:ilvl w:val="0"/>
          <w:numId w:val="12"/>
        </w:numPr>
      </w:pPr>
      <w:r>
        <w:t>Subject-specific and safeguarding training</w:t>
      </w:r>
    </w:p>
    <w:p w14:paraId="223DBFEE" w14:textId="77777777" w:rsidR="006F69E5" w:rsidRDefault="00F531F2">
      <w:r>
        <w:pict w14:anchorId="223DC013">
          <v:rect id="_x0000_i1040" style="width:0;height:1.5pt" o:hralign="center" o:hrstd="t" o:hr="t"/>
        </w:pict>
      </w:r>
    </w:p>
    <w:p w14:paraId="223DBFEF" w14:textId="77777777" w:rsidR="006F69E5" w:rsidRDefault="00F531F2">
      <w:pPr>
        <w:pStyle w:val="Heading3"/>
      </w:pPr>
      <w:bookmarkStart w:id="16" w:name="X0494eaa1db2329e0a6d3079c295e1dec6c43713"/>
      <w:bookmarkEnd w:id="15"/>
      <w:r>
        <w:t>14. Working in Partnership with Parents/Carers</w:t>
      </w:r>
    </w:p>
    <w:p w14:paraId="223DBFF0" w14:textId="77777777" w:rsidR="006F69E5" w:rsidRDefault="00F531F2">
      <w:pPr>
        <w:pStyle w:val="FirstParagraph"/>
      </w:pPr>
      <w:r>
        <w:t>We value parental involvement and provide:</w:t>
      </w:r>
    </w:p>
    <w:p w14:paraId="223DBFF1" w14:textId="77777777" w:rsidR="006F69E5" w:rsidRDefault="00F531F2">
      <w:pPr>
        <w:pStyle w:val="Compact"/>
        <w:numPr>
          <w:ilvl w:val="0"/>
          <w:numId w:val="13"/>
        </w:numPr>
      </w:pPr>
      <w:r>
        <w:t>Weekly tutor contact</w:t>
      </w:r>
    </w:p>
    <w:p w14:paraId="223DBFF2" w14:textId="77777777" w:rsidR="006F69E5" w:rsidRDefault="00F531F2">
      <w:pPr>
        <w:pStyle w:val="Compact"/>
        <w:numPr>
          <w:ilvl w:val="0"/>
          <w:numId w:val="13"/>
        </w:numPr>
      </w:pPr>
      <w:r>
        <w:t>Flexible meeting formats</w:t>
      </w:r>
    </w:p>
    <w:p w14:paraId="223DBFF3" w14:textId="77777777" w:rsidR="006F69E5" w:rsidRDefault="00F531F2">
      <w:pPr>
        <w:pStyle w:val="Compact"/>
        <w:numPr>
          <w:ilvl w:val="0"/>
          <w:numId w:val="13"/>
        </w:numPr>
      </w:pPr>
      <w:r>
        <w:t>Clear guidance on processes</w:t>
      </w:r>
    </w:p>
    <w:p w14:paraId="223DBFF4" w14:textId="77777777" w:rsidR="006F69E5" w:rsidRDefault="00F531F2">
      <w:pPr>
        <w:pStyle w:val="Compact"/>
        <w:numPr>
          <w:ilvl w:val="0"/>
          <w:numId w:val="13"/>
        </w:numPr>
      </w:pPr>
      <w:r>
        <w:t>Support for diverse communication needs</w:t>
      </w:r>
    </w:p>
    <w:p w14:paraId="223DBFF5" w14:textId="77777777" w:rsidR="006F69E5" w:rsidRDefault="00F531F2">
      <w:pPr>
        <w:pStyle w:val="Compact"/>
        <w:numPr>
          <w:ilvl w:val="0"/>
          <w:numId w:val="13"/>
        </w:numPr>
      </w:pPr>
      <w:r>
        <w:t>Opportunities for feedback and co-production</w:t>
      </w:r>
    </w:p>
    <w:p w14:paraId="223DBFF6" w14:textId="77777777" w:rsidR="006F69E5" w:rsidRDefault="00F531F2">
      <w:r>
        <w:pict w14:anchorId="223DC014">
          <v:rect id="_x0000_i1041" style="width:0;height:1.5pt" o:hralign="center" o:hrstd="t" o:hr="t"/>
        </w:pict>
      </w:r>
    </w:p>
    <w:p w14:paraId="223DBFF7" w14:textId="77777777" w:rsidR="006F69E5" w:rsidRDefault="00F531F2">
      <w:pPr>
        <w:pStyle w:val="Heading3"/>
      </w:pPr>
      <w:bookmarkStart w:id="17" w:name="linked-policies"/>
      <w:bookmarkEnd w:id="16"/>
      <w:r>
        <w:t>15. Linked Policies</w:t>
      </w:r>
    </w:p>
    <w:p w14:paraId="223DBFF8" w14:textId="77777777" w:rsidR="006F69E5" w:rsidRDefault="00F531F2">
      <w:pPr>
        <w:pStyle w:val="Compact"/>
        <w:numPr>
          <w:ilvl w:val="0"/>
          <w:numId w:val="14"/>
        </w:numPr>
      </w:pPr>
      <w:r>
        <w:t>Accessibility Plan</w:t>
      </w:r>
    </w:p>
    <w:p w14:paraId="223DBFF9" w14:textId="77777777" w:rsidR="006F69E5" w:rsidRDefault="00F531F2">
      <w:pPr>
        <w:pStyle w:val="Compact"/>
        <w:numPr>
          <w:ilvl w:val="0"/>
          <w:numId w:val="14"/>
        </w:numPr>
      </w:pPr>
      <w:r>
        <w:t>Equality Policy</w:t>
      </w:r>
    </w:p>
    <w:p w14:paraId="223DBFFA" w14:textId="77777777" w:rsidR="006F69E5" w:rsidRDefault="00F531F2">
      <w:pPr>
        <w:pStyle w:val="Compact"/>
        <w:numPr>
          <w:ilvl w:val="0"/>
          <w:numId w:val="14"/>
        </w:numPr>
      </w:pPr>
      <w:r>
        <w:t>Safeguarding and Child Protection Policy</w:t>
      </w:r>
    </w:p>
    <w:p w14:paraId="223DBFFB" w14:textId="77777777" w:rsidR="006F69E5" w:rsidRDefault="00F531F2">
      <w:pPr>
        <w:pStyle w:val="Compact"/>
        <w:numPr>
          <w:ilvl w:val="0"/>
          <w:numId w:val="14"/>
        </w:numPr>
      </w:pPr>
      <w:r>
        <w:t>Behaviour Policy</w:t>
      </w:r>
    </w:p>
    <w:p w14:paraId="223DBFFC" w14:textId="77777777" w:rsidR="006F69E5" w:rsidRDefault="00F531F2">
      <w:pPr>
        <w:pStyle w:val="Compact"/>
        <w:numPr>
          <w:ilvl w:val="0"/>
          <w:numId w:val="14"/>
        </w:numPr>
      </w:pPr>
      <w:r>
        <w:t>Curriculum Policy</w:t>
      </w:r>
    </w:p>
    <w:p w14:paraId="223DBFFD" w14:textId="77777777" w:rsidR="006F69E5" w:rsidRDefault="00F531F2">
      <w:pPr>
        <w:pStyle w:val="Compact"/>
        <w:numPr>
          <w:ilvl w:val="0"/>
          <w:numId w:val="14"/>
        </w:numPr>
      </w:pPr>
      <w:r>
        <w:t>Teaching and Learning Policy</w:t>
      </w:r>
    </w:p>
    <w:p w14:paraId="223DBFFE" w14:textId="77777777" w:rsidR="006F69E5" w:rsidRDefault="00F531F2">
      <w:pPr>
        <w:pStyle w:val="Compact"/>
        <w:numPr>
          <w:ilvl w:val="0"/>
          <w:numId w:val="14"/>
        </w:numPr>
      </w:pPr>
      <w:r>
        <w:t>Assessment Policy</w:t>
      </w:r>
    </w:p>
    <w:p w14:paraId="223DBFFF" w14:textId="77777777" w:rsidR="006F69E5" w:rsidRDefault="00F531F2">
      <w:pPr>
        <w:pStyle w:val="Compact"/>
        <w:numPr>
          <w:ilvl w:val="0"/>
          <w:numId w:val="14"/>
        </w:numPr>
      </w:pPr>
      <w:r>
        <w:t>Anti-Bullying Policy</w:t>
      </w:r>
    </w:p>
    <w:p w14:paraId="223DC000" w14:textId="77777777" w:rsidR="006F69E5" w:rsidRDefault="00F531F2">
      <w:r>
        <w:pict w14:anchorId="223DC015">
          <v:rect id="_x0000_i1042" style="width:0;height:1.5pt" o:hralign="center" o:hrstd="t" o:hr="t"/>
        </w:pict>
      </w:r>
    </w:p>
    <w:p w14:paraId="223DC001" w14:textId="77777777" w:rsidR="006F69E5" w:rsidRDefault="00F531F2">
      <w:pPr>
        <w:pStyle w:val="Heading3"/>
      </w:pPr>
      <w:bookmarkStart w:id="18" w:name="glossary"/>
      <w:bookmarkEnd w:id="17"/>
      <w:r>
        <w:t>16. Glossary</w:t>
      </w:r>
    </w:p>
    <w:p w14:paraId="223DC002" w14:textId="77777777" w:rsidR="006F69E5" w:rsidRDefault="00F531F2">
      <w:pPr>
        <w:pStyle w:val="FirstParagraph"/>
      </w:pPr>
      <w:r>
        <w:rPr>
          <w:b/>
          <w:bCs/>
        </w:rPr>
        <w:t>ASD:</w:t>
      </w:r>
      <w:r>
        <w:t xml:space="preserve"> Autism Spectrum Disorder</w:t>
      </w:r>
      <w:r>
        <w:br/>
      </w:r>
      <w:r>
        <w:rPr>
          <w:b/>
          <w:bCs/>
        </w:rPr>
        <w:t>EHCP:</w:t>
      </w:r>
      <w:r>
        <w:t xml:space="preserve"> Education, Health and Care Plan</w:t>
      </w:r>
      <w:r>
        <w:br/>
      </w:r>
      <w:r>
        <w:rPr>
          <w:b/>
          <w:bCs/>
        </w:rPr>
        <w:t>SEMH:</w:t>
      </w:r>
      <w:r>
        <w:t xml:space="preserve"> Social, Emotional and Mental Health</w:t>
      </w:r>
      <w:r>
        <w:br/>
      </w:r>
      <w:r>
        <w:rPr>
          <w:b/>
          <w:bCs/>
        </w:rPr>
        <w:t>SALT:</w:t>
      </w:r>
      <w:r>
        <w:t xml:space="preserve"> Speech and Language Therapy</w:t>
      </w:r>
      <w:r>
        <w:br/>
      </w:r>
      <w:r>
        <w:rPr>
          <w:b/>
          <w:bCs/>
        </w:rPr>
        <w:t>PROACT-SCIPr:</w:t>
      </w:r>
      <w:r>
        <w:t xml:space="preserve"> Proactive Behaviour Management Framework</w:t>
      </w:r>
      <w:r>
        <w:br/>
      </w:r>
      <w:r>
        <w:rPr>
          <w:b/>
          <w:bCs/>
        </w:rPr>
        <w:t>PfA:</w:t>
      </w:r>
      <w:r>
        <w:t xml:space="preserve"> Preparing for Adulthood</w:t>
      </w:r>
    </w:p>
    <w:p w14:paraId="223DC003" w14:textId="77777777" w:rsidR="006F69E5" w:rsidRDefault="00F531F2">
      <w:r>
        <w:pict w14:anchorId="223DC016">
          <v:rect id="_x0000_i1043" style="width:0;height:1.5pt" o:hralign="center" o:bullet="t" o:hrstd="t" o:hr="t"/>
        </w:pict>
      </w:r>
    </w:p>
    <w:p w14:paraId="0D8EE0C2" w14:textId="38883046" w:rsidR="006E37B7" w:rsidRPr="006E37B7" w:rsidRDefault="006E37B7" w:rsidP="006E37B7">
      <w:pPr>
        <w:rPr>
          <w:lang w:val="en-GB"/>
        </w:rPr>
      </w:pPr>
      <w:r w:rsidRPr="006E37B7">
        <w:rPr>
          <w:b/>
          <w:bCs/>
          <w:lang w:val="en-GB"/>
        </w:rPr>
        <w:lastRenderedPageBreak/>
        <w:t>Prepared by:</w:t>
      </w:r>
      <w:r w:rsidRPr="006E37B7">
        <w:rPr>
          <w:lang w:val="en-GB"/>
        </w:rPr>
        <w:t xml:space="preserve"> Craig Kelly</w:t>
      </w:r>
      <w:r w:rsidRPr="006E37B7">
        <w:rPr>
          <w:lang w:val="en-GB"/>
        </w:rPr>
        <w:br/>
      </w:r>
      <w:r w:rsidRPr="006E37B7">
        <w:rPr>
          <w:b/>
          <w:bCs/>
          <w:lang w:val="en-GB"/>
        </w:rPr>
        <w:t>Review Date:</w:t>
      </w:r>
      <w:r w:rsidRPr="006E37B7">
        <w:rPr>
          <w:lang w:val="en-GB"/>
        </w:rPr>
        <w:t xml:space="preserve"> </w:t>
      </w:r>
      <w:r>
        <w:rPr>
          <w:lang w:val="en-GB"/>
        </w:rPr>
        <w:t xml:space="preserve">Sept </w:t>
      </w:r>
      <w:r w:rsidR="00F531F2">
        <w:rPr>
          <w:lang w:val="en-GB"/>
        </w:rPr>
        <w:t>2026</w:t>
      </w:r>
      <w:r w:rsidRPr="006E37B7">
        <w:rPr>
          <w:lang w:val="en-GB"/>
        </w:rPr>
        <w:br/>
      </w:r>
      <w:r w:rsidRPr="006E37B7">
        <w:rPr>
          <w:b/>
          <w:bCs/>
          <w:lang w:val="en-GB"/>
        </w:rPr>
        <w:t>Governing Body Acceptance Date:</w:t>
      </w:r>
      <w:r w:rsidRPr="006E37B7">
        <w:rPr>
          <w:lang w:val="en-GB"/>
        </w:rPr>
        <w:t xml:space="preserve"> [To be completed]</w:t>
      </w:r>
      <w:r w:rsidRPr="006E37B7">
        <w:rPr>
          <w:lang w:val="en-GB"/>
        </w:rPr>
        <w:br/>
      </w:r>
      <w:r w:rsidRPr="006E37B7">
        <w:rPr>
          <w:b/>
          <w:bCs/>
          <w:lang w:val="en-GB"/>
        </w:rPr>
        <w:t>Website Link:</w:t>
      </w:r>
      <w:r w:rsidRPr="006E37B7">
        <w:rPr>
          <w:lang w:val="en-GB"/>
        </w:rPr>
        <w:t xml:space="preserve"> [Insert hyperlink once published]</w:t>
      </w:r>
    </w:p>
    <w:p w14:paraId="3B418A00" w14:textId="708CDA36" w:rsidR="0064111D" w:rsidRDefault="0064111D"/>
    <w:bookmarkEnd w:id="18"/>
    <w:sectPr w:rsidR="0064111D">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BD06C1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FA654F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BAD061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3556572">
    <w:abstractNumId w:val="0"/>
  </w:num>
  <w:num w:numId="2" w16cid:durableId="2261916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4700694">
    <w:abstractNumId w:val="1"/>
  </w:num>
  <w:num w:numId="4" w16cid:durableId="847409415">
    <w:abstractNumId w:val="1"/>
  </w:num>
  <w:num w:numId="5" w16cid:durableId="532157988">
    <w:abstractNumId w:val="1"/>
  </w:num>
  <w:num w:numId="6" w16cid:durableId="317543022">
    <w:abstractNumId w:val="1"/>
  </w:num>
  <w:num w:numId="7" w16cid:durableId="1613053498">
    <w:abstractNumId w:val="1"/>
  </w:num>
  <w:num w:numId="8" w16cid:durableId="1000697733">
    <w:abstractNumId w:val="1"/>
  </w:num>
  <w:num w:numId="9" w16cid:durableId="543106927">
    <w:abstractNumId w:val="1"/>
  </w:num>
  <w:num w:numId="10" w16cid:durableId="2110156306">
    <w:abstractNumId w:val="1"/>
  </w:num>
  <w:num w:numId="11" w16cid:durableId="913472121">
    <w:abstractNumId w:val="1"/>
  </w:num>
  <w:num w:numId="12" w16cid:durableId="1875851362">
    <w:abstractNumId w:val="1"/>
  </w:num>
  <w:num w:numId="13" w16cid:durableId="1288512110">
    <w:abstractNumId w:val="1"/>
  </w:num>
  <w:num w:numId="14" w16cid:durableId="1309699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6F69E5"/>
    <w:rsid w:val="000D2244"/>
    <w:rsid w:val="001D02D8"/>
    <w:rsid w:val="00275F25"/>
    <w:rsid w:val="00282F58"/>
    <w:rsid w:val="0064111D"/>
    <w:rsid w:val="006E37B7"/>
    <w:rsid w:val="006F69E5"/>
    <w:rsid w:val="007B2A84"/>
    <w:rsid w:val="00DB4972"/>
    <w:rsid w:val="00F5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223DBF82"/>
  <w15:docId w15:val="{A1CC9726-5DC4-42C6-8955-A3405D6E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684896">
      <w:bodyDiv w:val="1"/>
      <w:marLeft w:val="0"/>
      <w:marRight w:val="0"/>
      <w:marTop w:val="0"/>
      <w:marBottom w:val="0"/>
      <w:divBdr>
        <w:top w:val="none" w:sz="0" w:space="0" w:color="auto"/>
        <w:left w:val="none" w:sz="0" w:space="0" w:color="auto"/>
        <w:bottom w:val="none" w:sz="0" w:space="0" w:color="auto"/>
        <w:right w:val="none" w:sz="0" w:space="0" w:color="auto"/>
      </w:divBdr>
    </w:div>
    <w:div w:id="19017468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863</Words>
  <Characters>4920</Characters>
  <Application>Microsoft Office Word</Application>
  <DocSecurity>0</DocSecurity>
  <Lines>41</Lines>
  <Paragraphs>11</Paragraphs>
  <ScaleCrop>false</ScaleCrop>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Craig Kelly</cp:lastModifiedBy>
  <cp:revision>9</cp:revision>
  <dcterms:created xsi:type="dcterms:W3CDTF">2025-06-23T09:13:00Z</dcterms:created>
  <dcterms:modified xsi:type="dcterms:W3CDTF">2025-06-23T09:25:00Z</dcterms:modified>
</cp:coreProperties>
</file>